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 Example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Reference template only. Not legal advice; institutional and local forms take precedence.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Resume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Tool-Lifes</dc:creator>
  <dc:description>Reference template only. Not legal advice; institutional and local forms take precedence.</dc:description>
  <cp:lastModifiedBy>Un-named</cp:lastModifiedBy>
  <cp:revision>1</cp:revision>
  <dcterms:created xsi:type="dcterms:W3CDTF">2026-09-21T11:20:42.777Z</dcterms:created>
  <dcterms:modified xsi:type="dcterms:W3CDTF">2026-09-21T11:20:42.777Z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